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61E2" w14:textId="0DFD1690" w:rsidR="001022BB" w:rsidRDefault="00EB3C72" w:rsidP="00EB3C72">
      <w:pPr>
        <w:pStyle w:val="Heading1"/>
        <w:rPr>
          <w:rStyle w:val="BookTitle"/>
          <w:u w:val="single"/>
        </w:rPr>
      </w:pPr>
      <w:r>
        <w:rPr>
          <w:b/>
          <w:bCs/>
          <w:i/>
          <w:iCs/>
          <w:noProof/>
          <w:spacing w:val="5"/>
          <w:u w:val="single"/>
        </w:rPr>
        <w:drawing>
          <wp:anchor distT="0" distB="0" distL="114300" distR="114300" simplePos="0" relativeHeight="251658240" behindDoc="0" locked="0" layoutInCell="1" allowOverlap="1" wp14:anchorId="163E1528" wp14:editId="4FDED75A">
            <wp:simplePos x="0" y="0"/>
            <wp:positionH relativeFrom="margin">
              <wp:align>right</wp:align>
            </wp:positionH>
            <wp:positionV relativeFrom="margin">
              <wp:posOffset>-319111</wp:posOffset>
            </wp:positionV>
            <wp:extent cx="2128520" cy="835660"/>
            <wp:effectExtent l="0" t="0" r="5080" b="2540"/>
            <wp:wrapNone/>
            <wp:docPr id="1817946053"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6053" name="Picture 1" descr="A black background with green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8520" cy="835660"/>
                    </a:xfrm>
                    <a:prstGeom prst="rect">
                      <a:avLst/>
                    </a:prstGeom>
                  </pic:spPr>
                </pic:pic>
              </a:graphicData>
            </a:graphic>
            <wp14:sizeRelH relativeFrom="margin">
              <wp14:pctWidth>0</wp14:pctWidth>
            </wp14:sizeRelH>
            <wp14:sizeRelV relativeFrom="margin">
              <wp14:pctHeight>0</wp14:pctHeight>
            </wp14:sizeRelV>
          </wp:anchor>
        </w:drawing>
      </w:r>
      <w:r w:rsidRPr="00EB3C72">
        <w:rPr>
          <w:rStyle w:val="BookTitle"/>
          <w:sz w:val="52"/>
          <w:szCs w:val="52"/>
          <w:u w:val="single"/>
        </w:rPr>
        <w:t>Alpena County Treasurer</w:t>
      </w:r>
      <w:r w:rsidRPr="00EB3C72">
        <w:rPr>
          <w:rStyle w:val="BookTitle"/>
          <w:sz w:val="52"/>
          <w:szCs w:val="52"/>
          <w:u w:val="single"/>
        </w:rPr>
        <w:tab/>
      </w:r>
      <w:r>
        <w:rPr>
          <w:rStyle w:val="BookTitle"/>
          <w:sz w:val="52"/>
          <w:szCs w:val="52"/>
          <w:u w:val="single"/>
        </w:rPr>
        <w:tab/>
      </w:r>
      <w:r>
        <w:rPr>
          <w:rStyle w:val="BookTitle"/>
          <w:sz w:val="52"/>
          <w:szCs w:val="52"/>
          <w:u w:val="single"/>
        </w:rPr>
        <w:tab/>
      </w:r>
      <w:r>
        <w:rPr>
          <w:rStyle w:val="BookTitle"/>
          <w:sz w:val="52"/>
          <w:szCs w:val="52"/>
          <w:u w:val="single"/>
        </w:rPr>
        <w:tab/>
      </w:r>
      <w:r>
        <w:rPr>
          <w:rStyle w:val="BookTitle"/>
          <w:sz w:val="52"/>
          <w:szCs w:val="52"/>
          <w:u w:val="single"/>
        </w:rPr>
        <w:tab/>
      </w:r>
      <w:r w:rsidRPr="00EB3C72">
        <w:rPr>
          <w:rStyle w:val="BookTitle"/>
          <w:sz w:val="52"/>
          <w:szCs w:val="52"/>
          <w:u w:val="single"/>
        </w:rPr>
        <w:tab/>
      </w:r>
    </w:p>
    <w:p w14:paraId="3B91FB1A" w14:textId="7B328F52" w:rsidR="00EB3C72" w:rsidRPr="00EB3C72" w:rsidRDefault="00EB3C72" w:rsidP="00EB3C72">
      <w:pPr>
        <w:pStyle w:val="NoSpacing"/>
        <w:tabs>
          <w:tab w:val="right" w:pos="9360"/>
        </w:tabs>
        <w:rPr>
          <w:sz w:val="28"/>
          <w:szCs w:val="28"/>
        </w:rPr>
      </w:pPr>
      <w:r w:rsidRPr="00EB3C72">
        <w:rPr>
          <w:sz w:val="28"/>
          <w:szCs w:val="28"/>
        </w:rPr>
        <w:t>Cindy Cebula, Treasure</w:t>
      </w:r>
      <w:r>
        <w:rPr>
          <w:sz w:val="28"/>
          <w:szCs w:val="28"/>
        </w:rPr>
        <w:t>r</w:t>
      </w:r>
      <w:r>
        <w:rPr>
          <w:sz w:val="28"/>
          <w:szCs w:val="28"/>
        </w:rPr>
        <w:tab/>
        <w:t>989-354-9534</w:t>
      </w:r>
    </w:p>
    <w:p w14:paraId="2BFCA111" w14:textId="02C3344B" w:rsidR="00EB3C72" w:rsidRPr="00EB3C72" w:rsidRDefault="00EB3C72" w:rsidP="00EB3C72">
      <w:pPr>
        <w:pStyle w:val="NoSpacing"/>
        <w:tabs>
          <w:tab w:val="right" w:pos="9360"/>
        </w:tabs>
        <w:rPr>
          <w:sz w:val="28"/>
          <w:szCs w:val="28"/>
        </w:rPr>
      </w:pPr>
      <w:r w:rsidRPr="00EB3C72">
        <w:rPr>
          <w:sz w:val="28"/>
          <w:szCs w:val="28"/>
        </w:rPr>
        <w:t>720 W Chisholm St</w:t>
      </w:r>
      <w:r w:rsidR="00A37C0C">
        <w:rPr>
          <w:sz w:val="28"/>
          <w:szCs w:val="28"/>
        </w:rPr>
        <w:t>, Ste #3</w:t>
      </w:r>
      <w:r>
        <w:rPr>
          <w:sz w:val="28"/>
          <w:szCs w:val="28"/>
        </w:rPr>
        <w:tab/>
        <w:t>treasurer@alpenacounty.org</w:t>
      </w:r>
    </w:p>
    <w:p w14:paraId="4B9CA2EF" w14:textId="6CCB7EA4" w:rsidR="00EB3C72" w:rsidRDefault="00EB3C72" w:rsidP="00EB3C72">
      <w:pPr>
        <w:pStyle w:val="NoSpacing"/>
        <w:rPr>
          <w:sz w:val="28"/>
          <w:szCs w:val="28"/>
        </w:rPr>
      </w:pPr>
      <w:r w:rsidRPr="00EB3C72">
        <w:rPr>
          <w:sz w:val="28"/>
          <w:szCs w:val="28"/>
        </w:rPr>
        <w:t>Alpena, MI 49707</w:t>
      </w:r>
    </w:p>
    <w:p w14:paraId="0E8C0068" w14:textId="77777777" w:rsidR="00EB3C72" w:rsidRDefault="00EB3C72" w:rsidP="00EB3C72">
      <w:pPr>
        <w:pStyle w:val="NoSpacing"/>
        <w:rPr>
          <w:sz w:val="28"/>
          <w:szCs w:val="28"/>
        </w:rPr>
      </w:pPr>
    </w:p>
    <w:p w14:paraId="29FE9CC5" w14:textId="77777777" w:rsidR="00777CE7" w:rsidRPr="00F11469" w:rsidRDefault="00777CE7" w:rsidP="00777CE7">
      <w:pPr>
        <w:jc w:val="center"/>
        <w:rPr>
          <w:rFonts w:cs="Tahoma"/>
          <w:sz w:val="40"/>
          <w:szCs w:val="40"/>
        </w:rPr>
      </w:pPr>
      <w:r w:rsidRPr="00F11469">
        <w:rPr>
          <w:rFonts w:cs="Tahoma"/>
          <w:sz w:val="40"/>
          <w:szCs w:val="40"/>
        </w:rPr>
        <w:t>One-Year Financial Hardship Extension</w:t>
      </w:r>
    </w:p>
    <w:p w14:paraId="27D0F408" w14:textId="77777777" w:rsidR="00777CE7" w:rsidRPr="00F11469" w:rsidRDefault="00777CE7" w:rsidP="00777CE7">
      <w:pPr>
        <w:jc w:val="center"/>
        <w:rPr>
          <w:rFonts w:cs="Tahoma"/>
          <w:sz w:val="40"/>
          <w:szCs w:val="40"/>
        </w:rPr>
      </w:pPr>
      <w:r w:rsidRPr="00F11469">
        <w:rPr>
          <w:rFonts w:cs="Tahoma"/>
          <w:sz w:val="40"/>
          <w:szCs w:val="40"/>
        </w:rPr>
        <w:t>from Tax Foreclosure Policy</w:t>
      </w:r>
    </w:p>
    <w:p w14:paraId="13293BA5" w14:textId="77777777" w:rsidR="00777CE7" w:rsidRPr="00F11469" w:rsidRDefault="00777CE7" w:rsidP="00777CE7">
      <w:pPr>
        <w:jc w:val="center"/>
        <w:rPr>
          <w:rFonts w:cs="Tahoma"/>
          <w:sz w:val="28"/>
          <w:szCs w:val="28"/>
        </w:rPr>
      </w:pPr>
      <w:r w:rsidRPr="00F11469">
        <w:rPr>
          <w:rFonts w:cs="Tahoma"/>
          <w:sz w:val="28"/>
          <w:szCs w:val="28"/>
        </w:rPr>
        <w:t>Alpena County Treasurer’s Office</w:t>
      </w:r>
    </w:p>
    <w:p w14:paraId="2FE1F55F" w14:textId="185CEA0B" w:rsidR="00777CE7" w:rsidRPr="00F11469" w:rsidRDefault="001F4AD4" w:rsidP="00777CE7">
      <w:pPr>
        <w:jc w:val="center"/>
        <w:rPr>
          <w:rFonts w:cs="Tahoma"/>
          <w:sz w:val="28"/>
          <w:szCs w:val="28"/>
        </w:rPr>
      </w:pPr>
      <w:r w:rsidRPr="00F11469">
        <w:rPr>
          <w:rFonts w:cs="Tahoma"/>
          <w:sz w:val="28"/>
          <w:szCs w:val="28"/>
        </w:rPr>
        <w:t>Cindy Cebula</w:t>
      </w:r>
      <w:r w:rsidR="00777CE7" w:rsidRPr="00F11469">
        <w:rPr>
          <w:rFonts w:cs="Tahoma"/>
          <w:sz w:val="28"/>
          <w:szCs w:val="28"/>
        </w:rPr>
        <w:t>, Treasurer</w:t>
      </w:r>
    </w:p>
    <w:p w14:paraId="0A8EFB7B" w14:textId="77777777" w:rsidR="00777CE7" w:rsidRPr="00F11469" w:rsidRDefault="00777CE7" w:rsidP="00777CE7">
      <w:pPr>
        <w:rPr>
          <w:rFonts w:cs="Tahoma"/>
          <w:sz w:val="28"/>
          <w:szCs w:val="28"/>
        </w:rPr>
      </w:pPr>
    </w:p>
    <w:p w14:paraId="2A52597A" w14:textId="77777777" w:rsidR="00777CE7" w:rsidRPr="00F11469" w:rsidRDefault="00777CE7" w:rsidP="00777CE7">
      <w:pPr>
        <w:rPr>
          <w:rFonts w:cs="Tahoma"/>
          <w:sz w:val="28"/>
          <w:szCs w:val="28"/>
        </w:rPr>
      </w:pPr>
      <w:r w:rsidRPr="00F11469">
        <w:rPr>
          <w:rFonts w:cs="Tahoma"/>
          <w:sz w:val="28"/>
          <w:szCs w:val="28"/>
        </w:rPr>
        <w:t xml:space="preserve">Hardship Extensions are designed to delay foreclosure deadlines by one year for owners who are actively working to catch </w:t>
      </w:r>
      <w:proofErr w:type="gramStart"/>
      <w:r w:rsidRPr="00F11469">
        <w:rPr>
          <w:rFonts w:cs="Tahoma"/>
          <w:sz w:val="28"/>
          <w:szCs w:val="28"/>
        </w:rPr>
        <w:t>up</w:t>
      </w:r>
      <w:proofErr w:type="gramEnd"/>
      <w:r w:rsidRPr="00F11469">
        <w:rPr>
          <w:rFonts w:cs="Tahoma"/>
          <w:sz w:val="28"/>
          <w:szCs w:val="28"/>
        </w:rPr>
        <w:t xml:space="preserve"> their delinquent property taxes. </w:t>
      </w:r>
      <w:r w:rsidRPr="00F11469">
        <w:rPr>
          <w:rFonts w:cs="Tahoma"/>
          <w:b/>
          <w:bCs/>
          <w:color w:val="FF0000"/>
          <w:sz w:val="28"/>
          <w:szCs w:val="28"/>
        </w:rPr>
        <w:t>Hardship Extensions are for homeowners Principal Residence only and will only be granted once.</w:t>
      </w:r>
    </w:p>
    <w:p w14:paraId="343F7536" w14:textId="77777777" w:rsidR="00777CE7" w:rsidRPr="00F11469" w:rsidRDefault="00777CE7" w:rsidP="00777CE7">
      <w:pPr>
        <w:rPr>
          <w:rFonts w:cs="Tahoma"/>
          <w:sz w:val="28"/>
          <w:szCs w:val="28"/>
        </w:rPr>
      </w:pPr>
    </w:p>
    <w:p w14:paraId="018074EF" w14:textId="77777777" w:rsidR="00777CE7" w:rsidRPr="00F11469" w:rsidRDefault="00777CE7" w:rsidP="00777CE7">
      <w:pPr>
        <w:rPr>
          <w:rFonts w:cs="Tahoma"/>
          <w:sz w:val="28"/>
          <w:szCs w:val="28"/>
        </w:rPr>
      </w:pPr>
      <w:r w:rsidRPr="00F11469">
        <w:rPr>
          <w:rFonts w:cs="Tahoma"/>
          <w:sz w:val="28"/>
          <w:szCs w:val="28"/>
        </w:rPr>
        <w:t>The person requesting an extension must:</w:t>
      </w:r>
    </w:p>
    <w:p w14:paraId="38129FE9" w14:textId="77777777" w:rsidR="00777CE7" w:rsidRPr="00F11469" w:rsidRDefault="00777CE7" w:rsidP="00777CE7">
      <w:pPr>
        <w:numPr>
          <w:ilvl w:val="0"/>
          <w:numId w:val="1"/>
        </w:numPr>
        <w:spacing w:after="0" w:line="240" w:lineRule="auto"/>
        <w:rPr>
          <w:rFonts w:cs="Tahoma"/>
          <w:sz w:val="28"/>
          <w:szCs w:val="28"/>
        </w:rPr>
      </w:pPr>
      <w:r w:rsidRPr="00F11469">
        <w:rPr>
          <w:rFonts w:cs="Tahoma"/>
          <w:sz w:val="28"/>
          <w:szCs w:val="28"/>
        </w:rPr>
        <w:t>Hold title to the property or represent the estate if the owner is deceased.</w:t>
      </w:r>
    </w:p>
    <w:p w14:paraId="3D8D7221" w14:textId="77777777" w:rsidR="00777CE7" w:rsidRPr="00F11469" w:rsidRDefault="00777CE7" w:rsidP="00777CE7">
      <w:pPr>
        <w:numPr>
          <w:ilvl w:val="0"/>
          <w:numId w:val="1"/>
        </w:numPr>
        <w:spacing w:after="0" w:line="240" w:lineRule="auto"/>
        <w:rPr>
          <w:rFonts w:cs="Tahoma"/>
          <w:sz w:val="28"/>
          <w:szCs w:val="28"/>
        </w:rPr>
      </w:pPr>
      <w:r w:rsidRPr="00F11469">
        <w:rPr>
          <w:rFonts w:cs="Tahoma"/>
          <w:sz w:val="28"/>
          <w:szCs w:val="28"/>
        </w:rPr>
        <w:t>Complete the attached Application.</w:t>
      </w:r>
    </w:p>
    <w:p w14:paraId="7660420A" w14:textId="77777777" w:rsidR="00777CE7" w:rsidRPr="00F11469" w:rsidRDefault="00777CE7" w:rsidP="00777CE7">
      <w:pPr>
        <w:numPr>
          <w:ilvl w:val="0"/>
          <w:numId w:val="1"/>
        </w:numPr>
        <w:spacing w:after="0" w:line="240" w:lineRule="auto"/>
        <w:rPr>
          <w:rFonts w:cs="Tahoma"/>
          <w:sz w:val="28"/>
          <w:szCs w:val="28"/>
        </w:rPr>
      </w:pPr>
      <w:r w:rsidRPr="00F11469">
        <w:rPr>
          <w:rFonts w:cs="Tahoma"/>
          <w:sz w:val="28"/>
          <w:szCs w:val="28"/>
        </w:rPr>
        <w:t>Provide proof of income.</w:t>
      </w:r>
    </w:p>
    <w:p w14:paraId="65D2629B" w14:textId="77777777" w:rsidR="00777CE7" w:rsidRPr="00F11469" w:rsidRDefault="00777CE7" w:rsidP="00777CE7">
      <w:pPr>
        <w:numPr>
          <w:ilvl w:val="0"/>
          <w:numId w:val="1"/>
        </w:numPr>
        <w:spacing w:after="0" w:line="240" w:lineRule="auto"/>
        <w:rPr>
          <w:rFonts w:cs="Tahoma"/>
          <w:sz w:val="28"/>
          <w:szCs w:val="28"/>
        </w:rPr>
      </w:pPr>
      <w:r w:rsidRPr="00F11469">
        <w:rPr>
          <w:rFonts w:cs="Tahoma"/>
          <w:sz w:val="28"/>
          <w:szCs w:val="28"/>
        </w:rPr>
        <w:t>Provide information about assets and expenses you may have.</w:t>
      </w:r>
    </w:p>
    <w:p w14:paraId="531DC094" w14:textId="77777777" w:rsidR="00777CE7" w:rsidRPr="00F11469" w:rsidRDefault="00777CE7" w:rsidP="00777CE7">
      <w:pPr>
        <w:numPr>
          <w:ilvl w:val="0"/>
          <w:numId w:val="1"/>
        </w:numPr>
        <w:spacing w:after="0" w:line="240" w:lineRule="auto"/>
        <w:rPr>
          <w:rFonts w:cs="Tahoma"/>
          <w:sz w:val="28"/>
          <w:szCs w:val="28"/>
        </w:rPr>
      </w:pPr>
      <w:r w:rsidRPr="00F11469">
        <w:rPr>
          <w:rFonts w:cs="Tahoma"/>
          <w:sz w:val="28"/>
          <w:szCs w:val="28"/>
        </w:rPr>
        <w:t>Present a plan for payment. Plans may include one or more of the following:</w:t>
      </w:r>
    </w:p>
    <w:p w14:paraId="3771D9AA" w14:textId="77777777" w:rsidR="00777CE7" w:rsidRPr="00F11469" w:rsidRDefault="00777CE7" w:rsidP="00777CE7">
      <w:pPr>
        <w:numPr>
          <w:ilvl w:val="0"/>
          <w:numId w:val="2"/>
        </w:numPr>
        <w:spacing w:after="0" w:line="240" w:lineRule="auto"/>
        <w:rPr>
          <w:rFonts w:cs="Tahoma"/>
          <w:sz w:val="28"/>
          <w:szCs w:val="28"/>
        </w:rPr>
      </w:pPr>
      <w:r w:rsidRPr="00F11469">
        <w:rPr>
          <w:rFonts w:cs="Tahoma"/>
          <w:sz w:val="28"/>
          <w:szCs w:val="28"/>
        </w:rPr>
        <w:t>Assistance from a local help agency</w:t>
      </w:r>
    </w:p>
    <w:p w14:paraId="25B817D1" w14:textId="77777777" w:rsidR="00777CE7" w:rsidRPr="00F11469" w:rsidRDefault="00777CE7" w:rsidP="00777CE7">
      <w:pPr>
        <w:numPr>
          <w:ilvl w:val="0"/>
          <w:numId w:val="2"/>
        </w:numPr>
        <w:spacing w:after="0" w:line="240" w:lineRule="auto"/>
        <w:rPr>
          <w:rFonts w:cs="Tahoma"/>
          <w:sz w:val="28"/>
          <w:szCs w:val="28"/>
        </w:rPr>
      </w:pPr>
      <w:r w:rsidRPr="00F11469">
        <w:rPr>
          <w:rFonts w:cs="Tahoma"/>
          <w:sz w:val="28"/>
          <w:szCs w:val="28"/>
        </w:rPr>
        <w:t>Recent history of making regular payments</w:t>
      </w:r>
    </w:p>
    <w:p w14:paraId="2276643A" w14:textId="77777777" w:rsidR="00777CE7" w:rsidRPr="00F11469" w:rsidRDefault="00777CE7" w:rsidP="00777CE7">
      <w:pPr>
        <w:numPr>
          <w:ilvl w:val="0"/>
          <w:numId w:val="2"/>
        </w:numPr>
        <w:spacing w:after="0" w:line="240" w:lineRule="auto"/>
        <w:rPr>
          <w:rFonts w:cs="Tahoma"/>
          <w:sz w:val="28"/>
          <w:szCs w:val="28"/>
        </w:rPr>
      </w:pPr>
      <w:r w:rsidRPr="00F11469">
        <w:rPr>
          <w:rFonts w:cs="Tahoma"/>
          <w:sz w:val="28"/>
          <w:szCs w:val="28"/>
        </w:rPr>
        <w:t>Sale or refinancing of the property</w:t>
      </w:r>
    </w:p>
    <w:p w14:paraId="32EFBA7F" w14:textId="77777777" w:rsidR="00777CE7" w:rsidRPr="00F11469" w:rsidRDefault="00777CE7" w:rsidP="00777CE7">
      <w:pPr>
        <w:rPr>
          <w:rFonts w:cs="Tahoma"/>
          <w:sz w:val="28"/>
          <w:szCs w:val="28"/>
        </w:rPr>
      </w:pPr>
    </w:p>
    <w:p w14:paraId="31D2612C" w14:textId="77777777" w:rsidR="00777CE7" w:rsidRPr="00F11469" w:rsidRDefault="00777CE7" w:rsidP="00777CE7">
      <w:pPr>
        <w:rPr>
          <w:rFonts w:cs="Tahoma"/>
          <w:sz w:val="28"/>
          <w:szCs w:val="28"/>
        </w:rPr>
      </w:pPr>
      <w:r w:rsidRPr="00F11469">
        <w:rPr>
          <w:rFonts w:cs="Tahoma"/>
          <w:sz w:val="28"/>
          <w:szCs w:val="28"/>
        </w:rPr>
        <w:t>The Treasurer’s Office will assist delinquent taxpayers to develop a payment plan as part of the application process.</w:t>
      </w:r>
    </w:p>
    <w:p w14:paraId="61635591" w14:textId="77777777" w:rsidR="001F4AD4" w:rsidRPr="00F11469" w:rsidRDefault="001F4AD4" w:rsidP="00777CE7">
      <w:pPr>
        <w:rPr>
          <w:rFonts w:cs="Tahoma"/>
          <w:sz w:val="28"/>
          <w:szCs w:val="28"/>
        </w:rPr>
      </w:pPr>
    </w:p>
    <w:p w14:paraId="59BDB54C" w14:textId="3F8B630A" w:rsidR="00777CE7" w:rsidRPr="00F11469" w:rsidRDefault="00777CE7" w:rsidP="00777CE7">
      <w:pPr>
        <w:rPr>
          <w:rFonts w:cs="Tahoma"/>
          <w:sz w:val="28"/>
          <w:szCs w:val="28"/>
        </w:rPr>
      </w:pPr>
      <w:r w:rsidRPr="00F11469">
        <w:rPr>
          <w:rFonts w:cs="Tahoma"/>
          <w:sz w:val="28"/>
          <w:szCs w:val="28"/>
        </w:rPr>
        <w:lastRenderedPageBreak/>
        <w:t xml:space="preserve">The law requires the Treasurer to review your income and allows the Treasurer to grant hardship extensions to property owners whose household income is at or below the federal poverty income standards (as defined and determined annually by the United States Office of Management and Budget). </w:t>
      </w:r>
    </w:p>
    <w:p w14:paraId="5DE0F9F4" w14:textId="77777777" w:rsidR="00777CE7" w:rsidRPr="00F11469" w:rsidRDefault="00777CE7" w:rsidP="00777CE7">
      <w:pPr>
        <w:rPr>
          <w:rFonts w:cs="Tahoma"/>
          <w:sz w:val="28"/>
          <w:szCs w:val="28"/>
        </w:rPr>
      </w:pPr>
    </w:p>
    <w:p w14:paraId="1AE1DB36" w14:textId="77777777" w:rsidR="00777CE7" w:rsidRPr="00F11469" w:rsidRDefault="00777CE7" w:rsidP="00777CE7">
      <w:pPr>
        <w:rPr>
          <w:rFonts w:cs="Tahoma"/>
          <w:sz w:val="28"/>
          <w:szCs w:val="28"/>
        </w:rPr>
      </w:pPr>
      <w:r w:rsidRPr="00F11469">
        <w:rPr>
          <w:rFonts w:cs="Tahoma"/>
          <w:sz w:val="28"/>
          <w:szCs w:val="28"/>
        </w:rPr>
        <w:t>Granting of financial hardship status shall be for only current year(s) pending foreclosure. It extends only the time to pay the amount due; additional expenses, interest, and penalties continue to be added.</w:t>
      </w:r>
    </w:p>
    <w:p w14:paraId="65A36ABA" w14:textId="77777777" w:rsidR="00777CE7" w:rsidRPr="00F11469" w:rsidRDefault="00777CE7" w:rsidP="00777CE7">
      <w:pPr>
        <w:rPr>
          <w:rFonts w:cs="Tahoma"/>
          <w:sz w:val="28"/>
          <w:szCs w:val="28"/>
        </w:rPr>
      </w:pPr>
    </w:p>
    <w:p w14:paraId="49423FAE" w14:textId="77777777" w:rsidR="00777CE7" w:rsidRPr="00F11469" w:rsidRDefault="00777CE7" w:rsidP="00777CE7">
      <w:pPr>
        <w:jc w:val="center"/>
        <w:rPr>
          <w:rFonts w:cs="Tahoma"/>
          <w:b/>
          <w:bCs/>
          <w:color w:val="FF0000"/>
          <w:sz w:val="28"/>
          <w:szCs w:val="28"/>
        </w:rPr>
      </w:pPr>
      <w:r w:rsidRPr="00F11469">
        <w:rPr>
          <w:rFonts w:cs="Tahoma"/>
          <w:b/>
          <w:bCs/>
          <w:color w:val="FF0000"/>
          <w:sz w:val="28"/>
          <w:szCs w:val="28"/>
        </w:rPr>
        <w:t>Completed applications must be submitted by</w:t>
      </w:r>
    </w:p>
    <w:p w14:paraId="0D91D573" w14:textId="77777777" w:rsidR="00777CE7" w:rsidRPr="00F11469" w:rsidRDefault="00777CE7" w:rsidP="00777CE7">
      <w:pPr>
        <w:jc w:val="center"/>
        <w:rPr>
          <w:rFonts w:cs="Tahoma"/>
          <w:b/>
          <w:bCs/>
          <w:color w:val="FF0000"/>
          <w:sz w:val="28"/>
          <w:szCs w:val="28"/>
        </w:rPr>
      </w:pPr>
      <w:r w:rsidRPr="00F11469">
        <w:rPr>
          <w:rFonts w:cs="Tahoma"/>
          <w:b/>
          <w:bCs/>
          <w:color w:val="FF0000"/>
          <w:sz w:val="28"/>
          <w:szCs w:val="28"/>
        </w:rPr>
        <w:t>March 1</w:t>
      </w:r>
      <w:r w:rsidRPr="00F11469">
        <w:rPr>
          <w:rFonts w:cs="Tahoma"/>
          <w:b/>
          <w:bCs/>
          <w:color w:val="FF0000"/>
          <w:sz w:val="28"/>
          <w:szCs w:val="28"/>
          <w:vertAlign w:val="superscript"/>
        </w:rPr>
        <w:t>st</w:t>
      </w:r>
      <w:r w:rsidRPr="00F11469">
        <w:rPr>
          <w:rFonts w:cs="Tahoma"/>
          <w:b/>
          <w:bCs/>
          <w:color w:val="FF0000"/>
          <w:sz w:val="28"/>
          <w:szCs w:val="28"/>
        </w:rPr>
        <w:t xml:space="preserve"> to be considered!</w:t>
      </w:r>
    </w:p>
    <w:p w14:paraId="2EB64B16" w14:textId="77777777" w:rsidR="00777CE7" w:rsidRPr="00F11469" w:rsidRDefault="00777CE7" w:rsidP="00777CE7">
      <w:pPr>
        <w:rPr>
          <w:rFonts w:cs="Tahoma"/>
          <w:sz w:val="28"/>
          <w:szCs w:val="28"/>
        </w:rPr>
      </w:pPr>
    </w:p>
    <w:p w14:paraId="226B4836" w14:textId="77777777" w:rsidR="00777CE7" w:rsidRPr="00F11469" w:rsidRDefault="00777CE7" w:rsidP="00777CE7">
      <w:pPr>
        <w:rPr>
          <w:rFonts w:cs="Tahoma"/>
          <w:sz w:val="28"/>
          <w:szCs w:val="28"/>
        </w:rPr>
      </w:pPr>
    </w:p>
    <w:p w14:paraId="08BE0275" w14:textId="77777777" w:rsidR="00777CE7" w:rsidRPr="00F11469" w:rsidRDefault="00777CE7" w:rsidP="00777CE7">
      <w:pPr>
        <w:rPr>
          <w:rFonts w:cs="Tahoma"/>
          <w:sz w:val="28"/>
          <w:szCs w:val="28"/>
        </w:rPr>
      </w:pPr>
    </w:p>
    <w:p w14:paraId="7C70F6E0" w14:textId="77777777" w:rsidR="00777CE7" w:rsidRPr="00F11469" w:rsidRDefault="00777CE7" w:rsidP="00777CE7">
      <w:pPr>
        <w:rPr>
          <w:rFonts w:cs="Tahoma"/>
          <w:sz w:val="28"/>
          <w:szCs w:val="28"/>
        </w:rPr>
      </w:pPr>
    </w:p>
    <w:p w14:paraId="14BBEE4E" w14:textId="5A830D27" w:rsidR="00777CE7" w:rsidRPr="00F11469" w:rsidRDefault="001F4AD4" w:rsidP="00777CE7">
      <w:pPr>
        <w:rPr>
          <w:rFonts w:cs="Tahoma"/>
          <w:sz w:val="28"/>
          <w:szCs w:val="28"/>
        </w:rPr>
      </w:pPr>
      <w:r w:rsidRPr="00F11469">
        <w:rPr>
          <w:rFonts w:cs="Tahoma"/>
          <w:sz w:val="28"/>
          <w:szCs w:val="28"/>
        </w:rPr>
        <w:t>Cindy Cebula</w:t>
      </w:r>
    </w:p>
    <w:p w14:paraId="6E89C15F" w14:textId="5E7EAC42" w:rsidR="00EB3C72" w:rsidRPr="00F11469" w:rsidRDefault="00777CE7" w:rsidP="001F4AD4">
      <w:pPr>
        <w:rPr>
          <w:rFonts w:cs="Tahoma"/>
          <w:sz w:val="28"/>
          <w:szCs w:val="28"/>
        </w:rPr>
      </w:pPr>
      <w:r w:rsidRPr="00F11469">
        <w:rPr>
          <w:rFonts w:cs="Tahoma"/>
          <w:sz w:val="28"/>
          <w:szCs w:val="28"/>
        </w:rPr>
        <w:t>Alpena County Treasurer</w:t>
      </w:r>
    </w:p>
    <w:sectPr w:rsidR="00EB3C72" w:rsidRPr="00F11469" w:rsidSect="0054707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10B"/>
    <w:multiLevelType w:val="hybridMultilevel"/>
    <w:tmpl w:val="98546238"/>
    <w:lvl w:ilvl="0" w:tplc="AFF84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B5253D"/>
    <w:multiLevelType w:val="hybridMultilevel"/>
    <w:tmpl w:val="797C27D6"/>
    <w:lvl w:ilvl="0" w:tplc="EED4F7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91680564">
    <w:abstractNumId w:val="0"/>
  </w:num>
  <w:num w:numId="2" w16cid:durableId="944849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72"/>
    <w:rsid w:val="001022BB"/>
    <w:rsid w:val="001F4AD4"/>
    <w:rsid w:val="0054707A"/>
    <w:rsid w:val="005709C2"/>
    <w:rsid w:val="00777CE7"/>
    <w:rsid w:val="008E6F12"/>
    <w:rsid w:val="00A37C0C"/>
    <w:rsid w:val="00B41CD5"/>
    <w:rsid w:val="00BD053A"/>
    <w:rsid w:val="00DB4B1A"/>
    <w:rsid w:val="00EB3C72"/>
    <w:rsid w:val="00ED11B1"/>
    <w:rsid w:val="00F1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10DC"/>
  <w15:chartTrackingRefBased/>
  <w15:docId w15:val="{F3C0A447-7E21-4409-8D0D-B8272D17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C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B3C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B3C7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B3C7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B3C7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B3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C7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B3C7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B3C7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B3C7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B3C7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B3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C72"/>
    <w:rPr>
      <w:rFonts w:eastAsiaTheme="majorEastAsia" w:cstheme="majorBidi"/>
      <w:color w:val="272727" w:themeColor="text1" w:themeTint="D8"/>
    </w:rPr>
  </w:style>
  <w:style w:type="paragraph" w:styleId="Title">
    <w:name w:val="Title"/>
    <w:basedOn w:val="Normal"/>
    <w:next w:val="Normal"/>
    <w:link w:val="TitleChar"/>
    <w:uiPriority w:val="10"/>
    <w:qFormat/>
    <w:rsid w:val="00EB3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C72"/>
    <w:pPr>
      <w:spacing w:before="160"/>
      <w:jc w:val="center"/>
    </w:pPr>
    <w:rPr>
      <w:i/>
      <w:iCs/>
      <w:color w:val="404040" w:themeColor="text1" w:themeTint="BF"/>
    </w:rPr>
  </w:style>
  <w:style w:type="character" w:customStyle="1" w:styleId="QuoteChar">
    <w:name w:val="Quote Char"/>
    <w:basedOn w:val="DefaultParagraphFont"/>
    <w:link w:val="Quote"/>
    <w:uiPriority w:val="29"/>
    <w:rsid w:val="00EB3C72"/>
    <w:rPr>
      <w:i/>
      <w:iCs/>
      <w:color w:val="404040" w:themeColor="text1" w:themeTint="BF"/>
    </w:rPr>
  </w:style>
  <w:style w:type="paragraph" w:styleId="ListParagraph">
    <w:name w:val="List Paragraph"/>
    <w:basedOn w:val="Normal"/>
    <w:uiPriority w:val="34"/>
    <w:qFormat/>
    <w:rsid w:val="00EB3C72"/>
    <w:pPr>
      <w:ind w:left="720"/>
      <w:contextualSpacing/>
    </w:pPr>
  </w:style>
  <w:style w:type="character" w:styleId="IntenseEmphasis">
    <w:name w:val="Intense Emphasis"/>
    <w:basedOn w:val="DefaultParagraphFont"/>
    <w:uiPriority w:val="21"/>
    <w:qFormat/>
    <w:rsid w:val="00EB3C72"/>
    <w:rPr>
      <w:i/>
      <w:iCs/>
      <w:color w:val="2E74B5" w:themeColor="accent1" w:themeShade="BF"/>
    </w:rPr>
  </w:style>
  <w:style w:type="paragraph" w:styleId="IntenseQuote">
    <w:name w:val="Intense Quote"/>
    <w:basedOn w:val="Normal"/>
    <w:next w:val="Normal"/>
    <w:link w:val="IntenseQuoteChar"/>
    <w:uiPriority w:val="30"/>
    <w:qFormat/>
    <w:rsid w:val="00EB3C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B3C72"/>
    <w:rPr>
      <w:i/>
      <w:iCs/>
      <w:color w:val="2E74B5" w:themeColor="accent1" w:themeShade="BF"/>
    </w:rPr>
  </w:style>
  <w:style w:type="character" w:styleId="IntenseReference">
    <w:name w:val="Intense Reference"/>
    <w:basedOn w:val="DefaultParagraphFont"/>
    <w:uiPriority w:val="32"/>
    <w:qFormat/>
    <w:rsid w:val="00EB3C72"/>
    <w:rPr>
      <w:b/>
      <w:bCs/>
      <w:smallCaps/>
      <w:color w:val="2E74B5" w:themeColor="accent1" w:themeShade="BF"/>
      <w:spacing w:val="5"/>
    </w:rPr>
  </w:style>
  <w:style w:type="character" w:styleId="BookTitle">
    <w:name w:val="Book Title"/>
    <w:basedOn w:val="DefaultParagraphFont"/>
    <w:uiPriority w:val="33"/>
    <w:qFormat/>
    <w:rsid w:val="00EB3C72"/>
    <w:rPr>
      <w:b/>
      <w:bCs/>
      <w:i/>
      <w:iCs/>
      <w:spacing w:val="5"/>
    </w:rPr>
  </w:style>
  <w:style w:type="paragraph" w:styleId="NoSpacing">
    <w:name w:val="No Spacing"/>
    <w:uiPriority w:val="1"/>
    <w:qFormat/>
    <w:rsid w:val="00EB3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Repke</dc:creator>
  <cp:keywords/>
  <dc:description/>
  <cp:lastModifiedBy>Jamie Samson</cp:lastModifiedBy>
  <cp:revision>4</cp:revision>
  <dcterms:created xsi:type="dcterms:W3CDTF">2025-01-02T14:22:00Z</dcterms:created>
  <dcterms:modified xsi:type="dcterms:W3CDTF">2025-12-11T19:50:00Z</dcterms:modified>
</cp:coreProperties>
</file>